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第五届陕西省运动与健康促进论坛论文拟录用名单（全文）</w:t>
      </w:r>
      <w:bookmarkStart w:id="0" w:name="_GoBack"/>
      <w:bookmarkEnd w:id="0"/>
    </w:p>
    <w:tbl>
      <w:tblPr>
        <w:tblStyle w:val="4"/>
        <w:tblpPr w:leftFromText="180" w:rightFromText="180" w:vertAnchor="text" w:horzAnchor="page" w:tblpXSpec="center" w:tblpY="450"/>
        <w:tblOverlap w:val="never"/>
        <w:tblW w:w="12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733"/>
        <w:gridCol w:w="3577"/>
        <w:gridCol w:w="2573"/>
        <w:gridCol w:w="5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tblHeader/>
          <w:jc w:val="center"/>
        </w:trPr>
        <w:tc>
          <w:tcPr>
            <w:tcW w:w="733" w:type="dxa"/>
            <w:noWrap w:val="0"/>
            <w:vAlign w:val="center"/>
          </w:tcPr>
          <w:p>
            <w:pPr>
              <w:spacing w:line="300" w:lineRule="exact"/>
              <w:jc w:val="center"/>
              <w:rPr>
                <w:rFonts w:hint="default"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lang w:val="en-US" w:eastAsia="zh-CN"/>
              </w:rPr>
            </w:pPr>
            <w:r>
              <w:rPr>
                <w:rFonts w:hint="eastAsia" w:ascii="宋体" w:hAnsi="宋体" w:eastAsia="宋体" w:cs="宋体"/>
                <w:i w:val="0"/>
                <w:color w:val="000000"/>
                <w:kern w:val="0"/>
                <w:sz w:val="20"/>
                <w:szCs w:val="20"/>
                <w:u w:val="none"/>
                <w:lang w:val="en-US" w:eastAsia="zh-CN" w:bidi="ar"/>
              </w:rPr>
              <w:t>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贺亚楠，宋洋,刘春利，苟波</w:t>
            </w:r>
          </w:p>
        </w:tc>
        <w:tc>
          <w:tcPr>
            <w:tcW w:w="2573"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西安体育学院西安市</w:t>
            </w:r>
          </w:p>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未央区三星小学</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睡眠不足对小学生生长发育状态的影响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梁安迪，邵晓军，卫荣辉，高兴贵，</w:t>
            </w:r>
          </w:p>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池爱平</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陕西学前师范学院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运动改善抑郁症状大学生的脑功能状态研究——基于EEG功率谱分析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王志敏，刘军 ，韩小妮，李晨，</w:t>
            </w:r>
          </w:p>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于志梅，邹琪</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咖啡因联合碳水化合物补充对男子网球运动员专项身体素质的影响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lang w:val="en-US" w:eastAsia="zh-CN"/>
              </w:rPr>
            </w:pPr>
            <w:r>
              <w:rPr>
                <w:rFonts w:hint="eastAsia" w:ascii="宋体" w:hAnsi="宋体" w:eastAsia="宋体" w:cs="宋体"/>
                <w:i w:val="0"/>
                <w:color w:val="000000"/>
                <w:kern w:val="0"/>
                <w:sz w:val="20"/>
                <w:szCs w:val="20"/>
                <w:u w:val="none"/>
                <w:lang w:val="en-US" w:eastAsia="zh-CN" w:bidi="ar"/>
              </w:rPr>
              <w:t>4</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肖雪，李玲</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后疫情时代大学生体育锻炼和睡眠质量的关系——手机依赖和焦虑的链式中介作用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张钰聪，朱昭红，张士臣，徐秦豫</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学龄前儿童静坐行为、身体活动与认知灵活性的关系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周欣，郝琳</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24 周不同运动干预对青年男性心率变异性影响的研究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邹琪，刘军，侯莉莉</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两种不同强度室内运动对超重女青年身体炎症因子的影响研究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8</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庞盼盼，苟波，贺鹏鹏</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4 周麦肯基疗法和颈椎关节操对颈型颈椎病患者表面肌电活动影响的对比研究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9</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李晨，刘军，邹琪，于志梅</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甲基苯丙胺的神经毒性及运动干预机制研究进展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10</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梁馨文，王世林，潘玮敏，韩亚兵，</w:t>
            </w:r>
          </w:p>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宋嘉琦，李婷，贺鹏鹏</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下肢矫形器干预髌股疼痛综合征效果的Meta分析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李国梁，李玲，方程，倪嘉成，吕前华</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体育活动对强制隔离戒毒人员复吸倾向的影响—自我接纳、心理健康的链式中介效应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12</w:t>
            </w:r>
          </w:p>
        </w:tc>
        <w:tc>
          <w:tcPr>
            <w:tcW w:w="3577"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郑俊，龚敏</w:t>
            </w:r>
          </w:p>
        </w:tc>
        <w:tc>
          <w:tcPr>
            <w:tcW w:w="257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西南石油大学</w:t>
            </w:r>
          </w:p>
        </w:tc>
        <w:tc>
          <w:tcPr>
            <w:tcW w:w="5622"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功能性动作筛查测试（FMS）在青少年羽毛球运动员体能训练中的应用研究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 HYPERLINK "" \l "_ftn1" </w:instrText>
            </w:r>
            <w:r>
              <w:rPr>
                <w:rFonts w:hint="eastAsia" w:ascii="宋体" w:hAnsi="宋体" w:eastAsia="宋体" w:cs="宋体"/>
                <w:i w:val="0"/>
                <w:color w:val="auto"/>
                <w:kern w:val="0"/>
                <w:sz w:val="20"/>
                <w:szCs w:val="20"/>
                <w:u w:val="none"/>
                <w:lang w:val="en-US" w:eastAsia="zh-CN" w:bidi="ar"/>
              </w:rPr>
              <w:fldChar w:fldCharType="separate"/>
            </w:r>
            <w:r>
              <w:rPr>
                <w:rStyle w:val="6"/>
                <w:rFonts w:hint="eastAsia" w:ascii="宋体" w:hAnsi="宋体" w:eastAsia="宋体" w:cs="宋体"/>
                <w:i w:val="0"/>
                <w:color w:val="auto"/>
                <w:sz w:val="20"/>
                <w:szCs w:val="20"/>
                <w:u w:val="none"/>
              </w:rPr>
              <w:t>王志敏，刘 军，汪 琦，韩小妮</w:t>
            </w:r>
            <w:r>
              <w:rPr>
                <w:rFonts w:hint="eastAsia" w:ascii="宋体" w:hAnsi="宋体" w:eastAsia="宋体" w:cs="宋体"/>
                <w:i w:val="0"/>
                <w:color w:val="auto"/>
                <w:kern w:val="0"/>
                <w:sz w:val="20"/>
                <w:szCs w:val="20"/>
                <w:u w:val="none"/>
                <w:lang w:val="en-US" w:eastAsia="zh-CN" w:bidi="ar"/>
              </w:rPr>
              <w:fldChar w:fldCharType="end"/>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马拉松运动风险机理及防范措施研究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14</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陈雪雪，王宁，高艳玲，刘轩辰，</w:t>
            </w:r>
          </w:p>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刘沂朝，鲍树森，吴智钢，苟波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富血小板血浆结合针灸治疗髌骨软化症的疗效观察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高乾飞，刘涛，曹怡玮</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16S rRNA高通量测序技术在AD中的研究进展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16</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李婧瑄，刘远新</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不同运动模式对T2DM大鼠骨骼肌脂代谢信号通路的影响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李媛，尹战海，苟波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髋关节撞击综合征的诊断及康复治疗研究进展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18</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赵丽萍，苟波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离心锻炼治疗慢性肌腱病的有效性和作用机制的研究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19</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邹琪，刘军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运动介导外泌体防治T2DM合并肌少症研究进展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20</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谷昊琛，李玲</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高水平运动员领悟社会支持对运动性心理疲劳的影响：反刍思维的中介与完美主义的调节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龙滢，李玲</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大学生短视频成瘾与睡眠拖延行为的关系——自我控制的中介作用与是否体育类专业的调节作用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22</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于志梅，刘军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运动干预阿片类药物成瘾的作用机制研究进展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武丹，张志勇，张宏莉，曹璐，温尔秦</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中考体育政策对陕北县级中学生体质健康的影响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24</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张琪，苟波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全身振动训练干预慢性非特异性下腰痛的研究进展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徐小平，曲雪</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陕西工业职业技术学院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感觉统合训练对7~10岁少儿羽毛球运动员体能影响的实验研究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26</w:t>
            </w:r>
          </w:p>
        </w:tc>
        <w:tc>
          <w:tcPr>
            <w:tcW w:w="3577"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刘玉琴，裴婵敏，刘远新</w:t>
            </w:r>
          </w:p>
        </w:tc>
        <w:tc>
          <w:tcPr>
            <w:tcW w:w="257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普拉提对非特异性下腰痛患者的影响因素分析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张红阳，苟波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腰椎间盘突出症中西医非手术治疗的研究进展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28</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徐册册，王申，任志强，谢玲娟，</w:t>
            </w:r>
          </w:p>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岳江瑶</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南京体育学院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体育场馆运动健康服务供给现状分析及对策建议——以五台山体育中心为例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29</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陈艺箔，苟波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不同运动对肥胖儿童的干预效果研究进展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30</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李之彤，苟波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常见运动疗法在神经根型颈椎病康复中的应用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马菲，刘西纺，李梦芸，荆科，牛晋花</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全身振动训练在膝关节功能康复中的应用进展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32</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 HYPERLINK "" \l "_ftn1" </w:instrText>
            </w:r>
            <w:r>
              <w:rPr>
                <w:rFonts w:hint="eastAsia" w:ascii="宋体" w:hAnsi="宋体" w:eastAsia="宋体" w:cs="宋体"/>
                <w:i w:val="0"/>
                <w:color w:val="auto"/>
                <w:kern w:val="0"/>
                <w:sz w:val="20"/>
                <w:szCs w:val="20"/>
                <w:u w:val="none"/>
                <w:lang w:val="en-US" w:eastAsia="zh-CN" w:bidi="ar"/>
              </w:rPr>
              <w:fldChar w:fldCharType="separate"/>
            </w:r>
            <w:r>
              <w:rPr>
                <w:rStyle w:val="6"/>
                <w:rFonts w:hint="eastAsia" w:ascii="宋体" w:hAnsi="宋体" w:eastAsia="宋体" w:cs="宋体"/>
                <w:i w:val="0"/>
                <w:color w:val="auto"/>
                <w:sz w:val="20"/>
                <w:szCs w:val="20"/>
                <w:u w:val="none"/>
              </w:rPr>
              <w:t>汪琦，刘军，王志敏，韩小妮</w:t>
            </w:r>
            <w:r>
              <w:rPr>
                <w:rFonts w:hint="eastAsia" w:ascii="宋体" w:hAnsi="宋体" w:eastAsia="宋体" w:cs="宋体"/>
                <w:i w:val="0"/>
                <w:color w:val="auto"/>
                <w:kern w:val="0"/>
                <w:sz w:val="20"/>
                <w:szCs w:val="20"/>
                <w:u w:val="none"/>
                <w:lang w:val="en-US" w:eastAsia="zh-CN" w:bidi="ar"/>
              </w:rPr>
              <w:fldChar w:fldCharType="end"/>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锁阳提取物对运动性疲劳的影响研究进展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王江帆，苟波，刘亚彬</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肩周炎的中西医治疗进展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34</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王世林，梁馨文，潘玮敏</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血流限制下有氧运动：肥胖女大学生减脂的新选择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杨军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运动对精神分裂症患者的作用及机制研究进展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36</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李朝辉，李红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医学生与非医学生体育锻炼习惯与心理健康水平的研究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宋洋，苟波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关于我国国民体质健康测试指标体系的研究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38</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连泽慧，刘涛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运动通过调节肠道菌群改善肥胖症研究进展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39</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余今红，刘军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生酮饮食策略干预耐力项目的作用机制研究进展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40</w:t>
            </w:r>
          </w:p>
        </w:tc>
        <w:tc>
          <w:tcPr>
            <w:tcW w:w="3577"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周雯，张葆欣</w:t>
            </w:r>
          </w:p>
        </w:tc>
        <w:tc>
          <w:tcPr>
            <w:tcW w:w="257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扬达疗法联合PBU训练干预对大学生上交叉综合征疗效的研究综述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李雪</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西安外国语大学</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线上运动干预对COVID-19疫情下女大学生心理健康研究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42</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张洁</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陕西省康复医院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结合循证医学的PBL联合CTTM对康复治疗专业学生实践教学的效果影响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相云</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沈阳体育学院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基于民族传统体育的大课间活动对青少年体质健康的影响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44</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李宇航，解缤</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体育锻炼对抑郁患者干预作用的脑神经机制研究评述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王雅倩，张葆欣</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女性运动员压力性尿失禁的康复前沿动态研究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46</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王雨濛，彭湘媛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SMR训练和CST对NLBP患者影响的研究进展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李佳，李宁</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小针刀联合传统体医治疗腰椎间盘突出症现状调查研究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48</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李亚婧，赵鑫，加王虎</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中国竞走学校竞走运动员运动损伤情况及康复手段调查分析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49</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董浩，王晓妍，刘涛</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等速肌力训练与传统康复训练对前交叉术后患者运动功能的影响研究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50</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赵鑫，王刚，李亚婧，加王虎</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我国优秀竞走运动员运动损伤原因及体能康复措施——以中国竞走学校为例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王晶，杨芬芬，李雪宁，谷岩</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东北师范大学体育学院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本溪市中学生竞技体育运动员体能训练开展现状及训练方法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52</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葛舒瑶</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汉中职业技术学院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学校体育对青少年体质健康影响的研究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李紫钰，李园园，解缤</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运动干预在抑郁及焦虑情绪缓解中的应用——以疫情管控期在校大学生为例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54</w:t>
            </w:r>
          </w:p>
        </w:tc>
        <w:tc>
          <w:tcPr>
            <w:tcW w:w="3577"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贾敬栋，高月宏</w:t>
            </w:r>
          </w:p>
        </w:tc>
        <w:tc>
          <w:tcPr>
            <w:tcW w:w="2573"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西安文理学院</w:t>
            </w:r>
          </w:p>
        </w:tc>
        <w:tc>
          <w:tcPr>
            <w:tcW w:w="5622"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“体卫融合”背景下运动处方在中小学中的应用路径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55</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罗璇，李鹏程</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首都体育学院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校园篮球对青少年体质健康促进的影响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56</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葛舒瑶</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汉中职业技术学院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健康中国背景下运动促进健康的研究进展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57</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陈之龙，李宁</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竞技健美操常见难度运动损伤现状及对策研究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58</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王玟，武丹</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学校体育对青少年体质健康的影响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577"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2573"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5622"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59</w:t>
            </w:r>
          </w:p>
        </w:tc>
        <w:tc>
          <w:tcPr>
            <w:tcW w:w="3577"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刘力萌，马志君，赵永恒，景韵瑶，</w:t>
            </w:r>
          </w:p>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王荣欢</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牡丹江师范学院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双减背景下家校协作的课外体育活动对小学生身心健康影响的研究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60</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苏菲</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心理应激因素对运动损伤的影响--以运动损伤心理特征研究为例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61</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杨舒雅</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运动康复技术在实践中的应用———网球肘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62</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霍占东，崔性赫，侯文懿</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佳木斯大学体育学院</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体卫融合背景下老年人体能训练发展现状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63</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李伟</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陕西省榆林市横山区第七小学</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学校体育对青少年体质健康的影响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3"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64</w:t>
            </w:r>
          </w:p>
        </w:tc>
        <w:tc>
          <w:tcPr>
            <w:tcW w:w="3577"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黎艳芳</w:t>
            </w:r>
          </w:p>
        </w:tc>
        <w:tc>
          <w:tcPr>
            <w:tcW w:w="2573"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西安市第六中学</w:t>
            </w:r>
          </w:p>
        </w:tc>
        <w:tc>
          <w:tcPr>
            <w:tcW w:w="5622"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中学生参与体育运动常见运动损伤及预防</w:t>
            </w:r>
          </w:p>
        </w:tc>
      </w:tr>
    </w:tbl>
    <w:p/>
    <w:p/>
    <w:p/>
    <w:p/>
    <w:p/>
    <w:p/>
    <w:p/>
    <w:p/>
    <w:p/>
    <w:p/>
    <w:p/>
    <w:p/>
    <w:p/>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p>
      <w:pPr>
        <w:jc w:val="cente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第五届陕西省运动与健康促进论坛论文拟录用名单（摘要）</w:t>
      </w:r>
    </w:p>
    <w:tbl>
      <w:tblPr>
        <w:tblStyle w:val="4"/>
        <w:tblpPr w:leftFromText="180" w:rightFromText="180" w:vertAnchor="text" w:horzAnchor="page" w:tblpXSpec="center" w:tblpY="450"/>
        <w:tblOverlap w:val="never"/>
        <w:tblW w:w="126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908"/>
        <w:gridCol w:w="3720"/>
        <w:gridCol w:w="3265"/>
        <w:gridCol w:w="4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陈钶泱</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慢性疾病患者对运动的急性和适应性反应机制的研究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耿晴</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从肌细胞因子角度阐述运动促进健康机制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丁俊杰，叶佳雯</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宁波大学体育学院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竞技健美操运动员肘关节运动损伤后康复研究——以桡骨头骨折为例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3720"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黄芯怡，姜桂萍，朱昊，吴雪萍</w:t>
            </w:r>
          </w:p>
        </w:tc>
        <w:tc>
          <w:tcPr>
            <w:tcW w:w="3265"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不同运动量老年人的工作记忆差异研究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范德雄</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哈尔滨工程大学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学校体育促进青少年体质健康发展研究：问题和路径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季慧</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身心运动改善老年人慢性腰痛的效果研究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范东方，张琪琳，张家诚，司欣颐</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河南大学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八段锦在产后康复临床应用的作用研究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林晓烨</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不同运动方式对淋巴细胞凋亡影响的研究进展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范东方，张琪琳，张家诚，司欣颐</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河南大学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体医融合背景下太极桩功在产后康复的机遇、挑战与展望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任文玉</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卫星细胞的异质性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11</w:t>
            </w:r>
          </w:p>
        </w:tc>
        <w:tc>
          <w:tcPr>
            <w:tcW w:w="3720" w:type="dxa"/>
            <w:noWrap w:val="0"/>
            <w:vAlign w:val="center"/>
          </w:tcPr>
          <w:p>
            <w:pPr>
              <w:keepNext w:val="0"/>
              <w:keepLines w:val="0"/>
              <w:widowControl/>
              <w:suppressLineNumbers w:val="0"/>
              <w:jc w:val="center"/>
              <w:textAlignment w:val="center"/>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范伟玉，纪利君</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聊城大学体育学院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青少年体质健康高质量发展研究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汪晓丽</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青少年健康体育价值观的社会建构策略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肖皖祺</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运动对非酒精性脂肪性肝病的好处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付娉婷，矫玮</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北京体育大学</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青少年特发性脊柱侧弯患者呼吸功能研究现状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余乐</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前交叉韧带重建术后康复应用肌内效贴的研究进展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16</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张海洋</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上海体育学院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关节松动术联合其他治疗手段对关节僵硬疗效的分析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刘芳</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武汉体育学院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“五育”融合视阈下青少年趣味性体育的价值分析与应用策略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18</w:t>
            </w:r>
          </w:p>
        </w:tc>
        <w:tc>
          <w:tcPr>
            <w:tcW w:w="3720"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郭静暄，张有明，赵永恒</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b w:val="0"/>
                <w:bCs w:val="0"/>
                <w:w w:val="9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牡丹江师范学院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b w:val="0"/>
                <w:bCs w:val="0"/>
                <w:w w:val="9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体教融合视域下促进青少年体质健康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19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鲁婷婷，弥军民，喻龙</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西安交通大学体育中心</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体教融合背景下大学生乒乓球爱好者专项素质综合评价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韩飞宇</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河南大学武术学院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学校体育对促进青少年体质健康发展的策略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曹璐，刘军</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运动对儿童青少年近视的防治机制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高彩红，吴长艳</w:t>
            </w:r>
          </w:p>
        </w:tc>
        <w:tc>
          <w:tcPr>
            <w:tcW w:w="3265" w:type="dxa"/>
            <w:noWrap w:val="0"/>
            <w:vAlign w:val="center"/>
          </w:tcPr>
          <w:p>
            <w:pPr>
              <w:keepNext w:val="0"/>
              <w:keepLines w:val="0"/>
              <w:widowControl/>
              <w:suppressLineNumbers w:val="0"/>
              <w:jc w:val="center"/>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宋体" w:hAnsi="宋体" w:eastAsia="宋体" w:cs="宋体"/>
                <w:color w:val="auto"/>
                <w:w w:val="90"/>
                <w:sz w:val="20"/>
                <w:szCs w:val="20"/>
              </w:rPr>
            </w:pPr>
            <w:r>
              <w:rPr>
                <w:rFonts w:hint="eastAsia" w:ascii="宋体" w:hAnsi="宋体" w:eastAsia="宋体" w:cs="宋体"/>
                <w:i w:val="0"/>
                <w:color w:val="000000"/>
                <w:kern w:val="0"/>
                <w:sz w:val="20"/>
                <w:szCs w:val="20"/>
                <w:u w:val="none"/>
                <w:lang w:val="en-US" w:eastAsia="zh-CN" w:bidi="ar"/>
              </w:rPr>
              <w:t>水中保健操对中老年人身心健康的影响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23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蒋召圳，姜涛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高温环境下运动补液的策略——以马拉松运动为例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李双成，李宗航，董亚如</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基于休闲跑步者如何预防跑步损伤风险因素的干预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李宗航，马相华，李双成</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基于学校管理层面对青少年久坐行为的干预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26</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刘婧怡，王硕</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广场舞运动干预法对抑郁症患者的影响研究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27</w:t>
            </w:r>
          </w:p>
        </w:tc>
        <w:tc>
          <w:tcPr>
            <w:tcW w:w="3720"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梁安迪，卫荣辉，高兴贵，邵晓军，</w:t>
            </w:r>
          </w:p>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池爱平</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陕西学前师范学院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团队体育游戏活动对抑郁症状大学生的改善效果与EEG源定位分析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刘栓桂</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运动、体力活动与慢性疾病预防的研究进展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29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刘秀甜，刘军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冷疗促进足球运动员运动后疲劳恢复的机制研究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吕沛，任超学</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有氧运动联合血流限制训练对中老年Ⅱ型糖尿病患者的干预效果研究进展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马菲儿</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校园环境下身体活动改善青少年主观幸福感的影响因素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3720"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潘寒秋，解缤</w:t>
            </w:r>
          </w:p>
        </w:tc>
        <w:tc>
          <w:tcPr>
            <w:tcW w:w="3265"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体育运动对自我客体化的影响研究综述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权柳荷，王硕</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体卫融合中运动处方的应用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任敏，刘军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极限飞盘运动的损伤问题及解决策略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35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宋泽鑫，王旭东，段昊，刘耀荣</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体卫融合视域下我国体育教育专业人才的培养研究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36</w:t>
            </w:r>
          </w:p>
        </w:tc>
        <w:tc>
          <w:tcPr>
            <w:tcW w:w="3720" w:type="dxa"/>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田晓绒，胡梦雪，梁馨文，王雅倩，</w:t>
            </w:r>
          </w:p>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赵丽萍，王雪</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中老年女性股骨颈骨折术后早期负重造成缺血性坏死的影响研究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王倩</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体卫融合中运动处方的应用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王晓妍</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在骨盆前倾康复的核心训练中配合腹压呼吸训练的效果研究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39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王旭东，段昊，宋泽鑫，刘耀荣</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新时代“体卫融合”发展困境及实践路径研究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王续颖，刘军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运动干预乳腺癌的可能机制及处方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温尔秦，张志勇</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仿生水凝胶基偏瘫助动辅具设计的可行性初探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吴霜，刘军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冬季运动项目特征及营养干预策略研究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吴长艳，刘军</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运动干预肺癌患者预后的影响及其可能机制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徐诺，温晓妮</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八段锦在脑卒中康复中的应用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史跃红</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水中运动疗法对膝关节炎患者康复作用研究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46</w:t>
            </w:r>
          </w:p>
        </w:tc>
        <w:tc>
          <w:tcPr>
            <w:tcW w:w="3720"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张富丽，王硕</w:t>
            </w:r>
          </w:p>
        </w:tc>
        <w:tc>
          <w:tcPr>
            <w:tcW w:w="3265"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新冠疫情下青少年体质健康促进的现实困境与优化路径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47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张皓，赵晓雪，段昊，刘耀荣</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大数据视角下我国体卫融合的案例研究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张琪</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体育运动干预青少年心理疾病的研究进展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49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张晴</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运动介导肠道菌群调节中枢神经系统疾病的研究进展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张秋琳，殷可意</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慢性踝关节不稳人群运动康复研究现状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张婷，沈鑫，刘伟校</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拉丁舞运动员膝关节髌骨软化症的康复训练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王晓晓</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大学高水平运动员运动风险防控研究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周雯</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竞技体育中的运动损伤康复研究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邹静蕊，王硕</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运动对青少年抑郁症干预的研究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陈雪雪，黑鹏</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富血小板血浆注射治疗半月板损伤的研究进展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56</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马菲，刘西纺，李梦芸，牛晋花</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西安体育学院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肌内效贴对前交叉韧带重建术后膝关节功能的影响研究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方若娴，王磊，代付明，梁蒙</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西藏民族大学体育学院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体医融合视阈下肥胖青少年科学健身路径的创新发展研究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58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吴芬芳，汪作朋</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佳木斯大学体育学院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健康中国背景下儿童体能训练存在的问题与改进对策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59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刘修玥</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西藏民族大学体育学院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学校体育对青少年体质健康的影响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60</w:t>
            </w:r>
          </w:p>
        </w:tc>
        <w:tc>
          <w:tcPr>
            <w:tcW w:w="3720"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刘修玥</w:t>
            </w:r>
          </w:p>
        </w:tc>
        <w:tc>
          <w:tcPr>
            <w:tcW w:w="3265" w:type="dxa"/>
            <w:noWrap w:val="0"/>
            <w:vAlign w:val="center"/>
          </w:tcPr>
          <w:p>
            <w:pPr>
              <w:keepNext w:val="0"/>
              <w:keepLines w:val="0"/>
              <w:widowControl/>
              <w:suppressLineNumbers w:val="0"/>
              <w:jc w:val="center"/>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西藏民族大学体育学院</w:t>
            </w:r>
          </w:p>
        </w:tc>
        <w:tc>
          <w:tcPr>
            <w:tcW w:w="4709" w:type="dxa"/>
            <w:noWrap w:val="0"/>
            <w:vAlign w:val="center"/>
          </w:tcPr>
          <w:p>
            <w:pPr>
              <w:keepNext w:val="0"/>
              <w:keepLines w:val="0"/>
              <w:widowControl/>
              <w:suppressLineNumbers w:val="0"/>
              <w:jc w:val="both"/>
              <w:textAlignment w:val="bottom"/>
              <w:rPr>
                <w:rFonts w:hint="eastAsia" w:ascii="黑体" w:hAnsi="黑体" w:eastAsia="黑体" w:cs="黑体"/>
                <w:b w:val="0"/>
                <w:bCs w:val="0"/>
                <w:w w:val="90"/>
                <w:kern w:val="2"/>
                <w:sz w:val="28"/>
                <w:szCs w:val="28"/>
                <w:lang w:val="en-US" w:eastAsia="zh-CN" w:bidi="ar-SA"/>
              </w:rPr>
            </w:pPr>
            <w:r>
              <w:rPr>
                <w:rFonts w:hint="eastAsia" w:ascii="宋体" w:hAnsi="宋体" w:eastAsia="宋体" w:cs="宋体"/>
                <w:i w:val="0"/>
                <w:color w:val="000000"/>
                <w:kern w:val="0"/>
                <w:sz w:val="20"/>
                <w:szCs w:val="20"/>
                <w:u w:val="none"/>
                <w:lang w:val="en-US" w:eastAsia="zh-CN" w:bidi="ar"/>
              </w:rPr>
              <w:t>后疫情时代运动对心理疾病的干预研究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王磊，方若娴，惠明，丛文发</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西藏民族大学体育学院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“健康中国2030”视域下体育运动对农村留守儿童身心健康的干预研究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赵海洋，刘佳琦</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西京医院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“体医融合”新模式下基于渐进模型的运动处方在烧伤患者肢体功能恢复中的应用初探及系统评价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蒋莉</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西南医科大学体育学院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离心运动对肌腱修复的影响研究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64</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闫玉琴</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国内关于运动对心理健康的影响研究现状及热点分析——基于Citespace的可视化分析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65</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吕可馨</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西南医科大学体育学院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八段锦对新冠肺炎患者心肺功能康复的应用探究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66</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杨世英</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运动处方对大学生心理健康干预的研究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67</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刘晶芝，焦国强，胡燕燕</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新疆工程学院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“体医融合”视域下新疆高校体育弱势群体康复运动的教学机制研究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68</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杨雨林</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河南大学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瑜伽在运动康复实践中的应用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69</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朱廷宇，李雨衡，沙莎</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云南师范大学体育学院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太极拳运动养生机理对促进中老年人健康的研究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70</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朱廷宇，李雨衡，沙莎</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云南师范大学体育学院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探索与优化：竞技武术套路运动训练影响因素及优化策略研究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kern w:val="2"/>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
              </w:rPr>
              <w:t>71</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张心洁</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河南大学体育学院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浅析青少年体质健康现状与学校体育改革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序号</w:t>
            </w:r>
          </w:p>
        </w:tc>
        <w:tc>
          <w:tcPr>
            <w:tcW w:w="37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作  者</w:t>
            </w:r>
          </w:p>
        </w:tc>
        <w:tc>
          <w:tcPr>
            <w:tcW w:w="3265"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 稿 作 者 单 位</w:t>
            </w:r>
          </w:p>
        </w:tc>
        <w:tc>
          <w:tcPr>
            <w:tcW w:w="470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 文 题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72</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赵瑞，陈乐琴</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山西师范大学</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运动干预老年慢性病的研究现状与热点---基于Cite Space可视化分析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08" w:type="dxa"/>
            <w:noWrap w:val="0"/>
            <w:vAlign w:val="center"/>
          </w:tcPr>
          <w:p>
            <w:pPr>
              <w:keepNext w:val="0"/>
              <w:keepLines w:val="0"/>
              <w:widowControl/>
              <w:suppressLineNumbers w:val="0"/>
              <w:jc w:val="center"/>
              <w:textAlignment w:val="bottom"/>
              <w:rPr>
                <w:rFonts w:hint="eastAsia" w:ascii="仿宋" w:hAnsi="仿宋" w:eastAsia="仿宋" w:cs="仿宋"/>
                <w:w w:val="90"/>
                <w:sz w:val="24"/>
                <w:szCs w:val="24"/>
                <w:highlight w:val="none"/>
                <w:lang w:val="en-US" w:eastAsia="zh-CN"/>
              </w:rPr>
            </w:pPr>
            <w:r>
              <w:rPr>
                <w:rFonts w:hint="eastAsia" w:ascii="宋体" w:hAnsi="宋体" w:eastAsia="宋体" w:cs="宋体"/>
                <w:i w:val="0"/>
                <w:color w:val="000000"/>
                <w:kern w:val="0"/>
                <w:sz w:val="20"/>
                <w:szCs w:val="20"/>
                <w:u w:val="none"/>
                <w:lang w:val="en-US" w:eastAsia="zh-CN" w:bidi="ar"/>
              </w:rPr>
              <w:t>73</w:t>
            </w:r>
          </w:p>
        </w:tc>
        <w:tc>
          <w:tcPr>
            <w:tcW w:w="3720"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陶真，韩飞宇</w:t>
            </w:r>
          </w:p>
        </w:tc>
        <w:tc>
          <w:tcPr>
            <w:tcW w:w="3265" w:type="dxa"/>
            <w:noWrap w:val="0"/>
            <w:vAlign w:val="center"/>
          </w:tcPr>
          <w:p>
            <w:pPr>
              <w:keepNext w:val="0"/>
              <w:keepLines w:val="0"/>
              <w:widowControl/>
              <w:suppressLineNumbers w:val="0"/>
              <w:jc w:val="center"/>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河南大学武术学院</w:t>
            </w:r>
          </w:p>
        </w:tc>
        <w:tc>
          <w:tcPr>
            <w:tcW w:w="4709" w:type="dxa"/>
            <w:noWrap w:val="0"/>
            <w:vAlign w:val="center"/>
          </w:tcPr>
          <w:p>
            <w:pPr>
              <w:keepNext w:val="0"/>
              <w:keepLines w:val="0"/>
              <w:widowControl/>
              <w:suppressLineNumbers w:val="0"/>
              <w:jc w:val="both"/>
              <w:textAlignment w:val="bottom"/>
              <w:rPr>
                <w:rFonts w:hint="eastAsia" w:ascii="仿宋" w:hAnsi="仿宋" w:eastAsia="仿宋" w:cs="仿宋"/>
                <w:color w:val="auto"/>
                <w:w w:val="90"/>
                <w:sz w:val="24"/>
                <w:szCs w:val="24"/>
              </w:rPr>
            </w:pPr>
            <w:r>
              <w:rPr>
                <w:rFonts w:hint="eastAsia" w:ascii="宋体" w:hAnsi="宋体" w:eastAsia="宋体" w:cs="宋体"/>
                <w:i w:val="0"/>
                <w:color w:val="000000"/>
                <w:kern w:val="0"/>
                <w:sz w:val="20"/>
                <w:szCs w:val="20"/>
                <w:u w:val="none"/>
                <w:lang w:val="en-US" w:eastAsia="zh-CN" w:bidi="ar"/>
              </w:rPr>
              <w:t>基于生理学视角下太极拳改善中老年群体膝骨关节炎症状的可行性研究</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504B4"/>
    <w:rsid w:val="15D24F05"/>
    <w:rsid w:val="19E12FDC"/>
    <w:rsid w:val="1A174BDA"/>
    <w:rsid w:val="1DC12057"/>
    <w:rsid w:val="21237BD1"/>
    <w:rsid w:val="411622C0"/>
    <w:rsid w:val="44513789"/>
    <w:rsid w:val="4B057D8E"/>
    <w:rsid w:val="5A8E6BDC"/>
    <w:rsid w:val="65895FFC"/>
    <w:rsid w:val="6ECA4368"/>
    <w:rsid w:val="76A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2022-12-12T08:33:00Z</dcterms:created>
  <dc:creator>Administrator</dc:creator>
  <cp:lastModifiedBy>山雨欲来</cp:lastModifiedBy>
  <dcterms:modified xsi:type="dcterms:W3CDTF">2022-12-12T11:50:13Z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